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9A3EB0"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August 20</w:t>
      </w:r>
      <w:r w:rsidR="00EA7BD4">
        <w:rPr>
          <w:rFonts w:ascii="Times New Roman" w:hAnsi="Times New Roman" w:cs="Times New Roman"/>
          <w:b/>
          <w:bCs/>
          <w:i w:val="0"/>
          <w:iCs w:val="0"/>
          <w:color w:val="080808"/>
        </w:rPr>
        <w:t>, 2015</w:t>
      </w:r>
      <w:r w:rsidR="00F6319F">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 xml:space="preserve">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Steve Christens,</w:t>
      </w:r>
      <w:r w:rsidR="0034278D">
        <w:rPr>
          <w:rFonts w:ascii="Times New Roman" w:hAnsi="Times New Roman" w:cs="Times New Roman"/>
          <w:i w:val="0"/>
          <w:iCs w:val="0"/>
          <w:color w:val="080808"/>
          <w:sz w:val="22"/>
          <w:szCs w:val="22"/>
        </w:rPr>
        <w:t xml:space="preserve"> Steve Culbertson,</w:t>
      </w:r>
      <w:r w:rsidR="00DC2ED7">
        <w:rPr>
          <w:rFonts w:ascii="Times New Roman" w:hAnsi="Times New Roman" w:cs="Times New Roman"/>
          <w:i w:val="0"/>
          <w:iCs w:val="0"/>
          <w:color w:val="080808"/>
          <w:sz w:val="22"/>
          <w:szCs w:val="22"/>
        </w:rPr>
        <w:t xml:space="preserve"> </w:t>
      </w:r>
      <w:r w:rsidR="00F278B5">
        <w:rPr>
          <w:rFonts w:ascii="Times New Roman" w:hAnsi="Times New Roman" w:cs="Times New Roman"/>
          <w:i w:val="0"/>
          <w:iCs w:val="0"/>
          <w:color w:val="080808"/>
          <w:sz w:val="22"/>
          <w:szCs w:val="22"/>
        </w:rPr>
        <w:t>and John Decker.</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F278B5">
        <w:rPr>
          <w:rFonts w:ascii="Times New Roman" w:hAnsi="Times New Roman" w:cs="Times New Roman"/>
          <w:i w:val="0"/>
          <w:iCs w:val="0"/>
          <w:color w:val="080808"/>
          <w:sz w:val="22"/>
          <w:szCs w:val="22"/>
        </w:rPr>
        <w:t xml:space="preserve"> Betsy Ahner, Matt Koser.</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F278B5">
        <w:rPr>
          <w:rFonts w:ascii="Times New Roman" w:hAnsi="Times New Roman" w:cs="Times New Roman"/>
          <w:i w:val="0"/>
          <w:iCs w:val="0"/>
          <w:color w:val="080808"/>
          <w:sz w:val="22"/>
          <w:szCs w:val="22"/>
        </w:rPr>
        <w:t>, citizens Kendall Wethal, Roger Berg, Greg Helgese</w:t>
      </w:r>
      <w:r w:rsidR="007F418D">
        <w:rPr>
          <w:rFonts w:ascii="Times New Roman" w:hAnsi="Times New Roman" w:cs="Times New Roman"/>
          <w:i w:val="0"/>
          <w:iCs w:val="0"/>
          <w:color w:val="080808"/>
          <w:sz w:val="22"/>
          <w:szCs w:val="22"/>
        </w:rPr>
        <w:t>n, Mary Koehl, and Dan Emery</w:t>
      </w:r>
      <w:r w:rsidR="00F278B5">
        <w:rPr>
          <w:rFonts w:ascii="Times New Roman" w:hAnsi="Times New Roman" w:cs="Times New Roman"/>
          <w:i w:val="0"/>
          <w:iCs w:val="0"/>
          <w:color w:val="080808"/>
          <w:sz w:val="22"/>
          <w:szCs w:val="22"/>
        </w:rPr>
        <w:t>.</w:t>
      </w:r>
    </w:p>
    <w:p w:rsidR="00F923F7" w:rsidRPr="00B87FC8" w:rsidRDefault="00F923F7" w:rsidP="00F6319F">
      <w:pPr>
        <w:rPr>
          <w:rFonts w:ascii="Times New Roman" w:hAnsi="Times New Roman" w:cs="Times New Roman"/>
          <w:b/>
          <w:i w:val="0"/>
          <w:iCs w:val="0"/>
          <w:color w:val="080808"/>
          <w:sz w:val="16"/>
          <w:szCs w:val="16"/>
        </w:rPr>
      </w:pPr>
    </w:p>
    <w:p w:rsidR="00BA1A9E" w:rsidRDefault="00F6319F" w:rsidP="00F6319F">
      <w:pPr>
        <w:jc w:val="both"/>
        <w:rPr>
          <w:rFonts w:ascii="Times New Roman" w:hAnsi="Times New Roman" w:cs="Times New Roman"/>
          <w:i w:val="0"/>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 </w:t>
      </w:r>
    </w:p>
    <w:p w:rsidR="00F278B5" w:rsidRDefault="00F278B5" w:rsidP="00F6319F">
      <w:pPr>
        <w:jc w:val="both"/>
        <w:rPr>
          <w:rFonts w:ascii="Times New Roman" w:hAnsi="Times New Roman" w:cs="Times New Roman"/>
          <w:i w:val="0"/>
          <w:color w:val="080808"/>
          <w:sz w:val="22"/>
          <w:szCs w:val="22"/>
        </w:rPr>
      </w:pPr>
    </w:p>
    <w:p w:rsidR="00F278B5" w:rsidRDefault="00F278B5"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Citizen appearances</w:t>
      </w:r>
    </w:p>
    <w:p w:rsidR="00F278B5" w:rsidRDefault="00F278B5" w:rsidP="00F6319F">
      <w:pPr>
        <w:jc w:val="both"/>
        <w:rPr>
          <w:rFonts w:ascii="Times New Roman" w:hAnsi="Times New Roman" w:cs="Times New Roman"/>
          <w:b/>
          <w:i w:val="0"/>
          <w:color w:val="080808"/>
          <w:sz w:val="22"/>
          <w:szCs w:val="22"/>
        </w:rPr>
      </w:pPr>
    </w:p>
    <w:p w:rsidR="00F278B5" w:rsidRDefault="00F278B5"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Kendall Wethal appeared in support of a proposal by the Evansville Park &amp; Recreation Board to attempt a repair of the duck house located within the West Horseshoe Lagoon at Leonard-Leota Park.  The concrete roof has cracked in two, and is not repairable.  The original concrete and ruble walls deteriorated long ago, and were shored up by the construction of a surrounding concrete wall, which has deteriorated due to uneven settlement of the foundation.</w:t>
      </w:r>
    </w:p>
    <w:p w:rsidR="00F278B5" w:rsidRDefault="00F278B5" w:rsidP="00F6319F">
      <w:pPr>
        <w:jc w:val="both"/>
        <w:rPr>
          <w:rFonts w:ascii="Times New Roman" w:hAnsi="Times New Roman" w:cs="Times New Roman"/>
          <w:i w:val="0"/>
          <w:color w:val="080808"/>
          <w:sz w:val="22"/>
          <w:szCs w:val="22"/>
        </w:rPr>
      </w:pPr>
    </w:p>
    <w:p w:rsidR="00F278B5" w:rsidRDefault="00F278B5"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The duck house is noted in the description</w:t>
      </w:r>
      <w:r w:rsidR="00C70A96">
        <w:rPr>
          <w:rFonts w:ascii="Times New Roman" w:hAnsi="Times New Roman" w:cs="Times New Roman"/>
          <w:i w:val="0"/>
          <w:color w:val="080808"/>
          <w:sz w:val="22"/>
          <w:szCs w:val="22"/>
        </w:rPr>
        <w:t>s</w:t>
      </w:r>
      <w:r>
        <w:rPr>
          <w:rFonts w:ascii="Times New Roman" w:hAnsi="Times New Roman" w:cs="Times New Roman"/>
          <w:i w:val="0"/>
          <w:color w:val="080808"/>
          <w:sz w:val="22"/>
          <w:szCs w:val="22"/>
        </w:rPr>
        <w:t xml:space="preserve"> of the West Horseshoe Lagoon Bridges</w:t>
      </w:r>
      <w:r w:rsidR="00C70A96">
        <w:rPr>
          <w:rFonts w:ascii="Times New Roman" w:hAnsi="Times New Roman" w:cs="Times New Roman"/>
          <w:i w:val="0"/>
          <w:color w:val="080808"/>
          <w:sz w:val="22"/>
          <w:szCs w:val="22"/>
        </w:rPr>
        <w:t>, AHI Reference Numbers 203941 and 203981, and is shown in a historic photograph found on Ruth Ann Montgomery’s web site:</w:t>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r>
        <w:rPr>
          <w:rFonts w:ascii="Times New Roman" w:hAnsi="Times New Roman" w:cs="Times New Roman"/>
          <w:i w:val="0"/>
          <w:noProof/>
          <w:color w:val="080808"/>
          <w:sz w:val="22"/>
          <w:szCs w:val="22"/>
        </w:rPr>
        <w:drawing>
          <wp:inline distT="0" distB="0" distL="0" distR="0">
            <wp:extent cx="542925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_Pond_Lake_Leota-570x351.jpg"/>
                    <pic:cNvPicPr/>
                  </pic:nvPicPr>
                  <pic:blipFill>
                    <a:blip r:embed="rId7">
                      <a:extLst>
                        <a:ext uri="{28A0092B-C50C-407E-A947-70E740481C1C}">
                          <a14:useLocalDpi xmlns:a14="http://schemas.microsoft.com/office/drawing/2010/main" val="0"/>
                        </a:ext>
                      </a:extLst>
                    </a:blip>
                    <a:stretch>
                      <a:fillRect/>
                    </a:stretch>
                  </pic:blipFill>
                  <pic:spPr>
                    <a:xfrm>
                      <a:off x="0" y="0"/>
                      <a:ext cx="5429250" cy="3343275"/>
                    </a:xfrm>
                    <a:prstGeom prst="rect">
                      <a:avLst/>
                    </a:prstGeom>
                  </pic:spPr>
                </pic:pic>
              </a:graphicData>
            </a:graphic>
          </wp:inline>
        </w:drawing>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Decker and Wethal will work next week with Community Development Director Sergeant to prepare a Request for SHPO Review and Comment in connection with the proposal.</w:t>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lastRenderedPageBreak/>
        <w:t>Approval of minutes.</w:t>
      </w:r>
    </w:p>
    <w:p w:rsidR="00C70A96" w:rsidRDefault="00C70A96" w:rsidP="00F6319F">
      <w:pPr>
        <w:jc w:val="both"/>
        <w:rPr>
          <w:rFonts w:ascii="Times New Roman" w:hAnsi="Times New Roman" w:cs="Times New Roman"/>
          <w:b/>
          <w:i w:val="0"/>
          <w:color w:val="080808"/>
          <w:sz w:val="22"/>
          <w:szCs w:val="22"/>
        </w:rPr>
      </w:pPr>
    </w:p>
    <w:p w:rsidR="00C70A96" w:rsidRPr="00C70A96" w:rsidRDefault="00C70A96"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Culbertson moved to </w:t>
      </w:r>
      <w:r w:rsidR="006D5788">
        <w:rPr>
          <w:rFonts w:ascii="Times New Roman" w:hAnsi="Times New Roman" w:cs="Times New Roman"/>
          <w:color w:val="080808"/>
          <w:sz w:val="22"/>
          <w:szCs w:val="22"/>
        </w:rPr>
        <w:t xml:space="preserve">waive the reading and to </w:t>
      </w:r>
      <w:r>
        <w:rPr>
          <w:rFonts w:ascii="Times New Roman" w:hAnsi="Times New Roman" w:cs="Times New Roman"/>
          <w:color w:val="080808"/>
          <w:sz w:val="22"/>
          <w:szCs w:val="22"/>
        </w:rPr>
        <w:t xml:space="preserve">approve the minutes of the July 15, July 30, and August 4 minutes of the Commission, as submitted.  Lewis seconded.  </w:t>
      </w:r>
      <w:r>
        <w:rPr>
          <w:rFonts w:ascii="Times New Roman" w:hAnsi="Times New Roman" w:cs="Times New Roman"/>
          <w:i w:val="0"/>
          <w:color w:val="080808"/>
          <w:sz w:val="22"/>
          <w:szCs w:val="22"/>
        </w:rPr>
        <w:t>Approved by unanimous voice vote.</w:t>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A506E1" w:rsidRPr="006D5788" w:rsidRDefault="006D5788"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137 W. Main Street –</w:t>
      </w:r>
      <w:r w:rsidR="00EB4A8B">
        <w:rPr>
          <w:rFonts w:ascii="Times New Roman" w:hAnsi="Times New Roman" w:cs="Times New Roman"/>
          <w:i w:val="0"/>
          <w:color w:val="080808"/>
          <w:sz w:val="22"/>
          <w:szCs w:val="16"/>
        </w:rPr>
        <w:t xml:space="preserve">  </w:t>
      </w:r>
      <w:r>
        <w:rPr>
          <w:rFonts w:ascii="Times New Roman" w:hAnsi="Times New Roman" w:cs="Times New Roman"/>
          <w:color w:val="080808"/>
          <w:sz w:val="22"/>
          <w:szCs w:val="16"/>
        </w:rPr>
        <w:t xml:space="preserve">Christens </w:t>
      </w:r>
      <w:r w:rsidR="00EB4A8B">
        <w:rPr>
          <w:rFonts w:ascii="Times New Roman" w:hAnsi="Times New Roman" w:cs="Times New Roman"/>
          <w:color w:val="080808"/>
          <w:sz w:val="22"/>
          <w:szCs w:val="16"/>
        </w:rPr>
        <w:t>moved to app</w:t>
      </w:r>
      <w:r>
        <w:rPr>
          <w:rFonts w:ascii="Times New Roman" w:hAnsi="Times New Roman" w:cs="Times New Roman"/>
          <w:color w:val="080808"/>
          <w:sz w:val="22"/>
          <w:szCs w:val="16"/>
        </w:rPr>
        <w:t>rove the application for replacement of the wood sash of 25 windows with wood and vinyl clad window sash of the same design (double hung one-over-one) and dimensions as the originals</w:t>
      </w:r>
      <w:r w:rsidR="0034278D">
        <w:rPr>
          <w:rFonts w:ascii="Times New Roman" w:hAnsi="Times New Roman" w:cs="Times New Roman"/>
          <w:color w:val="080808"/>
          <w:sz w:val="22"/>
          <w:szCs w:val="16"/>
        </w:rPr>
        <w:t>. Decker</w:t>
      </w:r>
      <w:r w:rsidR="00EB4A8B">
        <w:rPr>
          <w:rFonts w:ascii="Times New Roman" w:hAnsi="Times New Roman" w:cs="Times New Roman"/>
          <w:color w:val="080808"/>
          <w:sz w:val="22"/>
          <w:szCs w:val="16"/>
        </w:rPr>
        <w:t xml:space="preserve"> seconded.</w:t>
      </w:r>
      <w:r>
        <w:rPr>
          <w:rFonts w:ascii="Times New Roman" w:hAnsi="Times New Roman" w:cs="Times New Roman"/>
          <w:color w:val="080808"/>
          <w:sz w:val="22"/>
          <w:szCs w:val="16"/>
        </w:rPr>
        <w:t xml:space="preserve">  </w:t>
      </w:r>
      <w:r>
        <w:rPr>
          <w:rFonts w:ascii="Times New Roman" w:hAnsi="Times New Roman" w:cs="Times New Roman"/>
          <w:i w:val="0"/>
          <w:color w:val="080808"/>
          <w:sz w:val="22"/>
          <w:szCs w:val="16"/>
        </w:rPr>
        <w:t>The application noted that all original wood trim will be retained.</w:t>
      </w:r>
    </w:p>
    <w:p w:rsidR="004D6624" w:rsidRDefault="004D6624" w:rsidP="00CD0363">
      <w:pPr>
        <w:jc w:val="both"/>
        <w:rPr>
          <w:rFonts w:ascii="Times New Roman" w:hAnsi="Times New Roman" w:cs="Times New Roman"/>
          <w:color w:val="080808"/>
          <w:sz w:val="22"/>
          <w:szCs w:val="16"/>
        </w:rPr>
      </w:pPr>
    </w:p>
    <w:p w:rsidR="004D6624" w:rsidRDefault="004D6624"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The property is within the Evansville Historic District, listed on the National Register of Historic Places, and is deemed to be a contributing resource with </w:t>
      </w:r>
      <w:r w:rsidR="00094961">
        <w:rPr>
          <w:rFonts w:ascii="Times New Roman" w:hAnsi="Times New Roman" w:cs="Times New Roman"/>
          <w:i w:val="0"/>
          <w:color w:val="080808"/>
          <w:sz w:val="22"/>
          <w:szCs w:val="16"/>
        </w:rPr>
        <w:t xml:space="preserve">reference </w:t>
      </w:r>
      <w:r w:rsidR="006D5788">
        <w:rPr>
          <w:rFonts w:ascii="Times New Roman" w:hAnsi="Times New Roman" w:cs="Times New Roman"/>
          <w:i w:val="0"/>
          <w:color w:val="080808"/>
          <w:sz w:val="22"/>
          <w:szCs w:val="16"/>
        </w:rPr>
        <w:t>AHI #61076 (Lillian D. &amp; George L. Pullen House)</w:t>
      </w:r>
      <w:r>
        <w:rPr>
          <w:rFonts w:ascii="Times New Roman" w:hAnsi="Times New Roman" w:cs="Times New Roman"/>
          <w:i w:val="0"/>
          <w:color w:val="080808"/>
          <w:sz w:val="22"/>
          <w:szCs w:val="16"/>
        </w:rPr>
        <w:t>.</w:t>
      </w:r>
    </w:p>
    <w:p w:rsidR="006D5788" w:rsidRDefault="006D5788" w:rsidP="00CD0363">
      <w:pPr>
        <w:jc w:val="both"/>
        <w:rPr>
          <w:rFonts w:ascii="Times New Roman" w:hAnsi="Times New Roman" w:cs="Times New Roman"/>
          <w:i w:val="0"/>
          <w:color w:val="080808"/>
          <w:sz w:val="22"/>
          <w:szCs w:val="16"/>
        </w:rPr>
      </w:pPr>
    </w:p>
    <w:p w:rsidR="006D5788" w:rsidRDefault="007F418D"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4-1</w:t>
      </w:r>
      <w:r w:rsidR="006D5788">
        <w:rPr>
          <w:rFonts w:ascii="Times New Roman" w:hAnsi="Times New Roman" w:cs="Times New Roman"/>
          <w:i w:val="0"/>
          <w:color w:val="080808"/>
          <w:sz w:val="22"/>
          <w:szCs w:val="16"/>
        </w:rPr>
        <w:t xml:space="preserve"> voice vote.</w:t>
      </w:r>
    </w:p>
    <w:p w:rsidR="006D5788" w:rsidRDefault="006D5788" w:rsidP="00CD0363">
      <w:pPr>
        <w:jc w:val="both"/>
        <w:rPr>
          <w:rFonts w:ascii="Times New Roman" w:hAnsi="Times New Roman" w:cs="Times New Roman"/>
          <w:i w:val="0"/>
          <w:color w:val="080808"/>
          <w:sz w:val="22"/>
          <w:szCs w:val="16"/>
        </w:rPr>
      </w:pPr>
    </w:p>
    <w:p w:rsidR="006D5788" w:rsidRDefault="006D5788"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 xml:space="preserve">109 S. First Street </w:t>
      </w:r>
      <w:r w:rsidR="0026779F">
        <w:rPr>
          <w:rFonts w:ascii="Times New Roman" w:hAnsi="Times New Roman" w:cs="Times New Roman"/>
          <w:b/>
          <w:i w:val="0"/>
          <w:color w:val="080808"/>
          <w:sz w:val="22"/>
          <w:szCs w:val="16"/>
        </w:rPr>
        <w:t>–</w:t>
      </w:r>
      <w:r>
        <w:rPr>
          <w:rFonts w:ascii="Times New Roman" w:hAnsi="Times New Roman" w:cs="Times New Roman"/>
          <w:b/>
          <w:i w:val="0"/>
          <w:color w:val="080808"/>
          <w:sz w:val="22"/>
          <w:szCs w:val="16"/>
        </w:rPr>
        <w:t xml:space="preserve"> </w:t>
      </w:r>
      <w:r w:rsidR="0026779F">
        <w:rPr>
          <w:rFonts w:ascii="Times New Roman" w:hAnsi="Times New Roman" w:cs="Times New Roman"/>
          <w:color w:val="080808"/>
          <w:sz w:val="22"/>
          <w:szCs w:val="16"/>
        </w:rPr>
        <w:t>Decker moved to approve the application for replacement of deteriorated concrete steps with steps</w:t>
      </w:r>
      <w:r w:rsidR="00CD348B">
        <w:rPr>
          <w:rFonts w:ascii="Times New Roman" w:hAnsi="Times New Roman" w:cs="Times New Roman"/>
          <w:color w:val="080808"/>
          <w:sz w:val="22"/>
          <w:szCs w:val="16"/>
        </w:rPr>
        <w:t xml:space="preserve"> and railings</w:t>
      </w:r>
      <w:r w:rsidR="0026779F">
        <w:rPr>
          <w:rFonts w:ascii="Times New Roman" w:hAnsi="Times New Roman" w:cs="Times New Roman"/>
          <w:color w:val="080808"/>
          <w:sz w:val="22"/>
          <w:szCs w:val="16"/>
        </w:rPr>
        <w:t xml:space="preserve"> to be constructed of treated wood at the front entry.  Lewis seconded.  </w:t>
      </w:r>
      <w:r w:rsidR="0026779F">
        <w:rPr>
          <w:rFonts w:ascii="Times New Roman" w:hAnsi="Times New Roman" w:cs="Times New Roman"/>
          <w:i w:val="0"/>
          <w:color w:val="080808"/>
          <w:sz w:val="22"/>
          <w:szCs w:val="16"/>
        </w:rPr>
        <w:t>The application noted that the original steps encroach on the sidewalk and are in deteriorated condition.  The owner’s insurer has insisted upon replacement of the original steps due to safety concerns.</w:t>
      </w:r>
    </w:p>
    <w:p w:rsidR="0026779F" w:rsidRDefault="0026779F" w:rsidP="00CD0363">
      <w:pPr>
        <w:jc w:val="both"/>
        <w:rPr>
          <w:rFonts w:ascii="Times New Roman" w:hAnsi="Times New Roman" w:cs="Times New Roman"/>
          <w:i w:val="0"/>
          <w:color w:val="080808"/>
          <w:sz w:val="22"/>
          <w:szCs w:val="16"/>
        </w:rPr>
      </w:pPr>
    </w:p>
    <w:p w:rsidR="0026779F" w:rsidRDefault="0026779F"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The property is within the Evansville Historic District, listed on the National Register of Historic Places, and is deemed to be a contributing resource with reference AHI #84979.</w:t>
      </w:r>
    </w:p>
    <w:p w:rsidR="0026779F" w:rsidRDefault="0026779F" w:rsidP="00CD0363">
      <w:pPr>
        <w:jc w:val="both"/>
        <w:rPr>
          <w:rFonts w:ascii="Times New Roman" w:hAnsi="Times New Roman" w:cs="Times New Roman"/>
          <w:i w:val="0"/>
          <w:color w:val="080808"/>
          <w:sz w:val="22"/>
          <w:szCs w:val="16"/>
        </w:rPr>
      </w:pPr>
    </w:p>
    <w:p w:rsidR="0026779F" w:rsidRDefault="0026779F"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unanimous voice vote.</w:t>
      </w:r>
    </w:p>
    <w:p w:rsidR="0026779F" w:rsidRDefault="0026779F" w:rsidP="00CD0363">
      <w:pPr>
        <w:jc w:val="both"/>
        <w:rPr>
          <w:rFonts w:ascii="Times New Roman" w:hAnsi="Times New Roman" w:cs="Times New Roman"/>
          <w:i w:val="0"/>
          <w:color w:val="080808"/>
          <w:sz w:val="22"/>
          <w:szCs w:val="16"/>
        </w:rPr>
      </w:pPr>
    </w:p>
    <w:p w:rsidR="00CD348B" w:rsidRDefault="0026779F" w:rsidP="00CD0363">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 xml:space="preserve">21 Garfield Avenue </w:t>
      </w:r>
      <w:r w:rsidR="00CD348B">
        <w:rPr>
          <w:rFonts w:ascii="Times New Roman" w:hAnsi="Times New Roman" w:cs="Times New Roman"/>
          <w:b/>
          <w:i w:val="0"/>
          <w:color w:val="080808"/>
          <w:sz w:val="22"/>
          <w:szCs w:val="16"/>
        </w:rPr>
        <w:t>–</w:t>
      </w:r>
      <w:r>
        <w:rPr>
          <w:rFonts w:ascii="Times New Roman" w:hAnsi="Times New Roman" w:cs="Times New Roman"/>
          <w:b/>
          <w:i w:val="0"/>
          <w:color w:val="080808"/>
          <w:sz w:val="22"/>
          <w:szCs w:val="16"/>
        </w:rPr>
        <w:t xml:space="preserve"> </w:t>
      </w:r>
      <w:r w:rsidR="00CD348B">
        <w:rPr>
          <w:rFonts w:ascii="Times New Roman" w:hAnsi="Times New Roman" w:cs="Times New Roman"/>
          <w:color w:val="080808"/>
          <w:sz w:val="22"/>
          <w:szCs w:val="16"/>
        </w:rPr>
        <w:t>Culbertson moved to approve the application to reroof the flat roofs on the dwelling, to cover soffits and fascia with aluminum, and to remove decorative wood trim at the gable ends. Christens seconded. Decker moved to amend the motion to withhold approval of removal of the wood trim at the gable ends.  Christens seconded.</w:t>
      </w:r>
    </w:p>
    <w:p w:rsidR="00CD348B" w:rsidRDefault="00CD348B" w:rsidP="00CD0363">
      <w:pPr>
        <w:jc w:val="both"/>
        <w:rPr>
          <w:rFonts w:ascii="Times New Roman" w:hAnsi="Times New Roman" w:cs="Times New Roman"/>
          <w:color w:val="080808"/>
          <w:sz w:val="22"/>
          <w:szCs w:val="16"/>
        </w:rPr>
      </w:pPr>
    </w:p>
    <w:p w:rsidR="00CD348B" w:rsidRPr="00CD348B" w:rsidRDefault="00CD348B"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The property is within the Evansville Historic District, listed on the National Register of Historic Places, and is deemed to be a contributing resource with reference AHI #85060.</w:t>
      </w:r>
    </w:p>
    <w:p w:rsidR="00CD348B" w:rsidRDefault="00CD348B" w:rsidP="00CD0363">
      <w:pPr>
        <w:jc w:val="both"/>
        <w:rPr>
          <w:rFonts w:ascii="Times New Roman" w:hAnsi="Times New Roman" w:cs="Times New Roman"/>
          <w:color w:val="080808"/>
          <w:sz w:val="22"/>
          <w:szCs w:val="16"/>
        </w:rPr>
      </w:pPr>
    </w:p>
    <w:p w:rsidR="0026779F" w:rsidRDefault="00CD348B" w:rsidP="00CD0363">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 </w:t>
      </w:r>
      <w:r>
        <w:rPr>
          <w:rFonts w:ascii="Times New Roman" w:hAnsi="Times New Roman" w:cs="Times New Roman"/>
          <w:i w:val="0"/>
          <w:color w:val="080808"/>
          <w:sz w:val="22"/>
          <w:szCs w:val="16"/>
        </w:rPr>
        <w:t>The motion to</w:t>
      </w:r>
      <w:r w:rsidR="003518D5">
        <w:rPr>
          <w:rFonts w:ascii="Times New Roman" w:hAnsi="Times New Roman" w:cs="Times New Roman"/>
          <w:i w:val="0"/>
          <w:color w:val="080808"/>
          <w:sz w:val="22"/>
          <w:szCs w:val="16"/>
        </w:rPr>
        <w:t xml:space="preserve"> amend was approved by</w:t>
      </w:r>
      <w:r>
        <w:rPr>
          <w:rFonts w:ascii="Times New Roman" w:hAnsi="Times New Roman" w:cs="Times New Roman"/>
          <w:i w:val="0"/>
          <w:color w:val="080808"/>
          <w:sz w:val="22"/>
          <w:szCs w:val="16"/>
        </w:rPr>
        <w:t xml:space="preserve"> voice vote, and the main motion, as amended, </w:t>
      </w:r>
      <w:r w:rsidR="003518D5">
        <w:rPr>
          <w:rFonts w:ascii="Times New Roman" w:hAnsi="Times New Roman" w:cs="Times New Roman"/>
          <w:i w:val="0"/>
          <w:color w:val="080808"/>
          <w:sz w:val="22"/>
          <w:szCs w:val="16"/>
        </w:rPr>
        <w:t xml:space="preserve">was approved by 4-1 </w:t>
      </w:r>
      <w:r>
        <w:rPr>
          <w:rFonts w:ascii="Times New Roman" w:hAnsi="Times New Roman" w:cs="Times New Roman"/>
          <w:i w:val="0"/>
          <w:color w:val="080808"/>
          <w:sz w:val="22"/>
          <w:szCs w:val="16"/>
        </w:rPr>
        <w:t>voice vote.</w:t>
      </w:r>
    </w:p>
    <w:p w:rsidR="00CD348B" w:rsidRDefault="00CD348B" w:rsidP="00CD0363">
      <w:pPr>
        <w:jc w:val="both"/>
        <w:rPr>
          <w:rFonts w:ascii="Times New Roman" w:hAnsi="Times New Roman" w:cs="Times New Roman"/>
          <w:i w:val="0"/>
          <w:color w:val="080808"/>
          <w:sz w:val="22"/>
          <w:szCs w:val="16"/>
        </w:rPr>
      </w:pPr>
    </w:p>
    <w:p w:rsidR="00CD348B" w:rsidRDefault="00CD348B"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 xml:space="preserve">268 W. Liberty Street – </w:t>
      </w:r>
      <w:r>
        <w:rPr>
          <w:rFonts w:ascii="Times New Roman" w:hAnsi="Times New Roman" w:cs="Times New Roman"/>
          <w:i w:val="0"/>
          <w:color w:val="080808"/>
          <w:sz w:val="22"/>
          <w:szCs w:val="16"/>
        </w:rPr>
        <w:t>Greg Helgesen and Roger Berg appeared in support of a request to recommend to the Plan Commission the issuance of a conditional use perm</w:t>
      </w:r>
      <w:r w:rsidR="003B5F8D">
        <w:rPr>
          <w:rFonts w:ascii="Times New Roman" w:hAnsi="Times New Roman" w:cs="Times New Roman"/>
          <w:i w:val="0"/>
          <w:color w:val="080808"/>
          <w:sz w:val="22"/>
          <w:szCs w:val="16"/>
        </w:rPr>
        <w:t>i</w:t>
      </w:r>
      <w:r>
        <w:rPr>
          <w:rFonts w:ascii="Times New Roman" w:hAnsi="Times New Roman" w:cs="Times New Roman"/>
          <w:i w:val="0"/>
          <w:color w:val="080808"/>
          <w:sz w:val="22"/>
          <w:szCs w:val="16"/>
        </w:rPr>
        <w:t>t for</w:t>
      </w:r>
      <w:r w:rsidR="003B5F8D">
        <w:rPr>
          <w:rFonts w:ascii="Times New Roman" w:hAnsi="Times New Roman" w:cs="Times New Roman"/>
          <w:i w:val="0"/>
          <w:color w:val="080808"/>
          <w:sz w:val="22"/>
          <w:szCs w:val="16"/>
        </w:rPr>
        <w:t xml:space="preserve"> construction of a duplex rental dwelling on the</w:t>
      </w:r>
      <w:r w:rsidR="007F418D">
        <w:rPr>
          <w:rFonts w:ascii="Times New Roman" w:hAnsi="Times New Roman" w:cs="Times New Roman"/>
          <w:i w:val="0"/>
          <w:color w:val="080808"/>
          <w:sz w:val="22"/>
          <w:szCs w:val="16"/>
        </w:rPr>
        <w:t xml:space="preserve"> site.  Mary Koehl and Dan Emery </w:t>
      </w:r>
      <w:r w:rsidR="003B5F8D">
        <w:rPr>
          <w:rFonts w:ascii="Times New Roman" w:hAnsi="Times New Roman" w:cs="Times New Roman"/>
          <w:i w:val="0"/>
          <w:color w:val="080808"/>
          <w:sz w:val="22"/>
          <w:szCs w:val="16"/>
        </w:rPr>
        <w:t>appeared in opposition.  Community Development Director Sergeant advised that the proposal to construct a single-family Colonial Revival or Cape Cod Style residence had been reviewed preliminarily by the Plan Commission, and had been referred to the Historic Preservation Commission for review and comment in accordance with chapter HC of the zoning code.  The property owner has consulted with City staff to significantly revise the design of the proposed project</w:t>
      </w:r>
      <w:r w:rsidR="007F418D">
        <w:rPr>
          <w:rFonts w:ascii="Times New Roman" w:hAnsi="Times New Roman" w:cs="Times New Roman"/>
          <w:i w:val="0"/>
          <w:color w:val="080808"/>
          <w:sz w:val="22"/>
          <w:szCs w:val="16"/>
        </w:rPr>
        <w:t xml:space="preserve"> to be a two story, two unit duplex</w:t>
      </w:r>
      <w:r w:rsidR="003B5F8D">
        <w:rPr>
          <w:rFonts w:ascii="Times New Roman" w:hAnsi="Times New Roman" w:cs="Times New Roman"/>
          <w:i w:val="0"/>
          <w:color w:val="080808"/>
          <w:sz w:val="22"/>
          <w:szCs w:val="16"/>
        </w:rPr>
        <w:t>.</w:t>
      </w:r>
    </w:p>
    <w:p w:rsidR="003B5F8D" w:rsidRDefault="003B5F8D" w:rsidP="00CD0363">
      <w:pPr>
        <w:jc w:val="both"/>
        <w:rPr>
          <w:rFonts w:ascii="Times New Roman" w:hAnsi="Times New Roman" w:cs="Times New Roman"/>
          <w:i w:val="0"/>
          <w:color w:val="080808"/>
          <w:sz w:val="22"/>
          <w:szCs w:val="16"/>
        </w:rPr>
      </w:pPr>
    </w:p>
    <w:p w:rsidR="003B5F8D" w:rsidRDefault="003518D5"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Opponents contended that the proposed development of rental housing on the site would be contrary to sec. 130-1121, Purpose and intent, of the zoning code. The Historic Preservation Commission, however, is of the view that its proper scope of its review and comment is limited to the specific design criteria set forth in secs. 130-1123 and 130-1125 of the zoning code.</w:t>
      </w:r>
    </w:p>
    <w:p w:rsidR="003518D5" w:rsidRPr="003A452F" w:rsidRDefault="003518D5" w:rsidP="00CD0363">
      <w:pPr>
        <w:jc w:val="both"/>
        <w:rPr>
          <w:rFonts w:ascii="Times New Roman" w:hAnsi="Times New Roman" w:cs="Times New Roman"/>
          <w:color w:val="080808"/>
          <w:sz w:val="22"/>
          <w:szCs w:val="16"/>
        </w:rPr>
      </w:pPr>
    </w:p>
    <w:p w:rsidR="003518D5" w:rsidRDefault="003518D5"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lastRenderedPageBreak/>
        <w:t>Following extended discussion, the Historic Preservation Commission makes the following findings and recommendations to the Plan Commission:</w:t>
      </w:r>
    </w:p>
    <w:p w:rsidR="00367F46" w:rsidRDefault="00367F46" w:rsidP="00CD0363">
      <w:pPr>
        <w:jc w:val="both"/>
        <w:rPr>
          <w:rFonts w:ascii="Times New Roman" w:hAnsi="Times New Roman" w:cs="Times New Roman"/>
          <w:i w:val="0"/>
          <w:color w:val="080808"/>
          <w:sz w:val="22"/>
          <w:szCs w:val="16"/>
        </w:rPr>
      </w:pPr>
    </w:p>
    <w:p w:rsidR="00367F46" w:rsidRPr="003A452F" w:rsidRDefault="00367F46" w:rsidP="003A452F">
      <w:pPr>
        <w:pStyle w:val="ListParagraph"/>
        <w:numPr>
          <w:ilvl w:val="0"/>
          <w:numId w:val="8"/>
        </w:numPr>
        <w:jc w:val="both"/>
        <w:rPr>
          <w:rFonts w:ascii="Times New Roman" w:hAnsi="Times New Roman" w:cs="Times New Roman"/>
          <w:i w:val="0"/>
          <w:color w:val="080808"/>
          <w:sz w:val="22"/>
          <w:szCs w:val="16"/>
        </w:rPr>
      </w:pPr>
      <w:r w:rsidRPr="003A452F">
        <w:rPr>
          <w:rFonts w:ascii="Times New Roman" w:hAnsi="Times New Roman" w:cs="Times New Roman"/>
          <w:i w:val="0"/>
          <w:color w:val="080808"/>
          <w:sz w:val="22"/>
          <w:szCs w:val="16"/>
        </w:rPr>
        <w:t>Subject to the limitations and qualifications set forth below, the Historic Preservation Commission finds and advises that the plans submitted by the owner are compatible with the surrounding area, within the meaning of sec. 130-1145</w:t>
      </w:r>
      <w:r w:rsidR="00C970CF">
        <w:rPr>
          <w:rFonts w:ascii="Times New Roman" w:hAnsi="Times New Roman" w:cs="Times New Roman"/>
          <w:i w:val="0"/>
          <w:color w:val="080808"/>
          <w:sz w:val="22"/>
          <w:szCs w:val="16"/>
        </w:rPr>
        <w:t xml:space="preserve"> o</w:t>
      </w:r>
      <w:r w:rsidRPr="003A452F">
        <w:rPr>
          <w:rFonts w:ascii="Times New Roman" w:hAnsi="Times New Roman" w:cs="Times New Roman"/>
          <w:i w:val="0"/>
          <w:color w:val="080808"/>
          <w:sz w:val="22"/>
          <w:szCs w:val="16"/>
        </w:rPr>
        <w:t xml:space="preserve">f the zoning code.  In this regard the Historic Preservation Commission notes that the newly-submitted plans depict an American Foursquare Style residence, of which fifteen residences of such style are </w:t>
      </w:r>
      <w:r w:rsidR="0071062E">
        <w:rPr>
          <w:rFonts w:ascii="Times New Roman" w:hAnsi="Times New Roman" w:cs="Times New Roman"/>
          <w:i w:val="0"/>
          <w:color w:val="080808"/>
          <w:sz w:val="22"/>
          <w:szCs w:val="16"/>
        </w:rPr>
        <w:t xml:space="preserve">presently </w:t>
      </w:r>
      <w:r w:rsidRPr="003A452F">
        <w:rPr>
          <w:rFonts w:ascii="Times New Roman" w:hAnsi="Times New Roman" w:cs="Times New Roman"/>
          <w:i w:val="0"/>
          <w:color w:val="080808"/>
          <w:sz w:val="22"/>
          <w:szCs w:val="16"/>
        </w:rPr>
        <w:t>found within the Evansville Historic District, including residences of such design on W. Liberty Street.</w:t>
      </w:r>
    </w:p>
    <w:p w:rsidR="00367F46" w:rsidRDefault="00367F46" w:rsidP="00367F46">
      <w:pPr>
        <w:pStyle w:val="ListParagraph"/>
        <w:jc w:val="both"/>
        <w:rPr>
          <w:rFonts w:ascii="Times New Roman" w:hAnsi="Times New Roman" w:cs="Times New Roman"/>
          <w:i w:val="0"/>
          <w:color w:val="080808"/>
          <w:sz w:val="22"/>
          <w:szCs w:val="16"/>
        </w:rPr>
      </w:pPr>
    </w:p>
    <w:p w:rsidR="00367F46" w:rsidRDefault="00367F46" w:rsidP="003A452F">
      <w:pPr>
        <w:pStyle w:val="ListParagraph"/>
        <w:numPr>
          <w:ilvl w:val="0"/>
          <w:numId w:val="8"/>
        </w:numPr>
        <w:jc w:val="both"/>
        <w:rPr>
          <w:rFonts w:ascii="Times New Roman" w:hAnsi="Times New Roman" w:cs="Times New Roman"/>
          <w:i w:val="0"/>
          <w:color w:val="080808"/>
          <w:sz w:val="22"/>
          <w:szCs w:val="16"/>
        </w:rPr>
      </w:pPr>
      <w:r w:rsidRPr="003A452F">
        <w:rPr>
          <w:rFonts w:ascii="Times New Roman" w:hAnsi="Times New Roman" w:cs="Times New Roman"/>
          <w:i w:val="0"/>
          <w:color w:val="080808"/>
          <w:sz w:val="22"/>
          <w:szCs w:val="16"/>
        </w:rPr>
        <w:t>The Historic Preservation Commission finds and advises that</w:t>
      </w:r>
      <w:r w:rsidR="003A452F">
        <w:rPr>
          <w:rFonts w:ascii="Times New Roman" w:hAnsi="Times New Roman" w:cs="Times New Roman"/>
          <w:i w:val="0"/>
          <w:color w:val="080808"/>
          <w:sz w:val="22"/>
          <w:szCs w:val="16"/>
        </w:rPr>
        <w:t>, within the meaning of sec. 130-1123 of the zoning code,</w:t>
      </w:r>
      <w:r w:rsidRPr="003A452F">
        <w:rPr>
          <w:rFonts w:ascii="Times New Roman" w:hAnsi="Times New Roman" w:cs="Times New Roman"/>
          <w:i w:val="0"/>
          <w:color w:val="080808"/>
          <w:sz w:val="22"/>
          <w:szCs w:val="16"/>
        </w:rPr>
        <w:t xml:space="preserve"> the proposed new structure is visually compatible with the buildings and environment with which </w:t>
      </w:r>
      <w:r w:rsidR="003A452F" w:rsidRPr="003A452F">
        <w:rPr>
          <w:rFonts w:ascii="Times New Roman" w:hAnsi="Times New Roman" w:cs="Times New Roman"/>
          <w:i w:val="0"/>
          <w:color w:val="080808"/>
          <w:sz w:val="22"/>
          <w:szCs w:val="16"/>
        </w:rPr>
        <w:t>it would visually be related with respect to</w:t>
      </w:r>
      <w:r w:rsidR="003A452F">
        <w:rPr>
          <w:rFonts w:ascii="Times New Roman" w:hAnsi="Times New Roman" w:cs="Times New Roman"/>
          <w:i w:val="0"/>
          <w:color w:val="080808"/>
          <w:sz w:val="22"/>
          <w:szCs w:val="16"/>
        </w:rPr>
        <w:t xml:space="preserve"> the following:</w:t>
      </w:r>
    </w:p>
    <w:p w:rsidR="003A452F" w:rsidRPr="003A452F" w:rsidRDefault="003A452F" w:rsidP="003A452F">
      <w:pPr>
        <w:pStyle w:val="ListParagrap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Height . </w:t>
      </w:r>
      <w:r>
        <w:rPr>
          <w:rFonts w:ascii="Times New Roman" w:hAnsi="Times New Roman" w:cs="Times New Roman"/>
          <w:i w:val="0"/>
          <w:color w:val="080808"/>
          <w:sz w:val="22"/>
          <w:szCs w:val="16"/>
        </w:rPr>
        <w:t>[Sec.130-1123 (b)(1)]</w:t>
      </w:r>
    </w:p>
    <w:p w:rsidR="003A452F" w:rsidRDefault="003A452F" w:rsidP="003A452F">
      <w:pPr>
        <w:ind w:left="720"/>
        <w:jc w:val="bot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Scale. </w:t>
      </w:r>
      <w:r>
        <w:rPr>
          <w:rFonts w:ascii="Times New Roman" w:hAnsi="Times New Roman" w:cs="Times New Roman"/>
          <w:i w:val="0"/>
          <w:color w:val="080808"/>
          <w:sz w:val="22"/>
          <w:szCs w:val="16"/>
        </w:rPr>
        <w:t>[Sec. 130-1123 (b)(2)]</w:t>
      </w:r>
    </w:p>
    <w:p w:rsidR="003A452F" w:rsidRDefault="003A452F" w:rsidP="003A452F">
      <w:pPr>
        <w:ind w:left="720"/>
        <w:jc w:val="bot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Rhythm of solids to voids. </w:t>
      </w:r>
      <w:r>
        <w:rPr>
          <w:rFonts w:ascii="Times New Roman" w:hAnsi="Times New Roman" w:cs="Times New Roman"/>
          <w:i w:val="0"/>
          <w:color w:val="080808"/>
          <w:sz w:val="22"/>
          <w:szCs w:val="16"/>
        </w:rPr>
        <w:t>[Sec. 130-1123 (b)(5)]</w:t>
      </w:r>
    </w:p>
    <w:p w:rsidR="003A452F" w:rsidRDefault="003A452F" w:rsidP="003A452F">
      <w:pPr>
        <w:ind w:left="720"/>
        <w:jc w:val="bot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sidRPr="003A452F">
        <w:rPr>
          <w:rFonts w:ascii="Times New Roman" w:hAnsi="Times New Roman" w:cs="Times New Roman"/>
          <w:color w:val="080808"/>
          <w:sz w:val="22"/>
          <w:szCs w:val="16"/>
        </w:rPr>
        <w:t>Relationship of materials.</w:t>
      </w:r>
      <w:r>
        <w:rPr>
          <w:rFonts w:ascii="Times New Roman" w:hAnsi="Times New Roman" w:cs="Times New Roman"/>
          <w:color w:val="080808"/>
          <w:sz w:val="22"/>
          <w:szCs w:val="16"/>
        </w:rPr>
        <w:t xml:space="preserve"> </w:t>
      </w:r>
      <w:r>
        <w:rPr>
          <w:rFonts w:ascii="Times New Roman" w:hAnsi="Times New Roman" w:cs="Times New Roman"/>
          <w:i w:val="0"/>
          <w:color w:val="080808"/>
          <w:sz w:val="22"/>
          <w:szCs w:val="16"/>
        </w:rPr>
        <w:t>[Sec. 130-1123 (b)(7)]</w:t>
      </w:r>
    </w:p>
    <w:p w:rsidR="003A452F" w:rsidRDefault="003A452F" w:rsidP="003A452F">
      <w:pPr>
        <w:ind w:left="720"/>
        <w:jc w:val="bot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Relationship of textures.  </w:t>
      </w:r>
      <w:r>
        <w:rPr>
          <w:rFonts w:ascii="Times New Roman" w:hAnsi="Times New Roman" w:cs="Times New Roman"/>
          <w:i w:val="0"/>
          <w:color w:val="080808"/>
          <w:sz w:val="22"/>
          <w:szCs w:val="16"/>
        </w:rPr>
        <w:t>[Sec. 130-1123 (b)(8)]</w:t>
      </w:r>
    </w:p>
    <w:p w:rsidR="003A452F" w:rsidRDefault="003A452F" w:rsidP="003A452F">
      <w:pPr>
        <w:ind w:left="720"/>
        <w:jc w:val="both"/>
        <w:rPr>
          <w:rFonts w:ascii="Times New Roman" w:hAnsi="Times New Roman" w:cs="Times New Roman"/>
          <w:i w:val="0"/>
          <w:color w:val="080808"/>
          <w:sz w:val="22"/>
          <w:szCs w:val="16"/>
        </w:rPr>
      </w:pPr>
    </w:p>
    <w:p w:rsidR="003A452F" w:rsidRDefault="003A452F"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Relationship of roofs.  </w:t>
      </w:r>
      <w:r>
        <w:rPr>
          <w:rFonts w:ascii="Times New Roman" w:hAnsi="Times New Roman" w:cs="Times New Roman"/>
          <w:i w:val="0"/>
          <w:color w:val="080808"/>
          <w:sz w:val="22"/>
          <w:szCs w:val="16"/>
        </w:rPr>
        <w:t>[</w:t>
      </w:r>
      <w:r>
        <w:rPr>
          <w:rFonts w:ascii="Times New Roman" w:hAnsi="Times New Roman" w:cs="Times New Roman"/>
          <w:color w:val="080808"/>
          <w:sz w:val="22"/>
          <w:szCs w:val="16"/>
        </w:rPr>
        <w:t>Sec.</w:t>
      </w:r>
      <w:r>
        <w:rPr>
          <w:rFonts w:ascii="Times New Roman" w:hAnsi="Times New Roman" w:cs="Times New Roman"/>
          <w:i w:val="0"/>
          <w:color w:val="080808"/>
          <w:sz w:val="22"/>
          <w:szCs w:val="16"/>
        </w:rPr>
        <w:t xml:space="preserve"> 130-1123 (b)(9)]</w:t>
      </w:r>
    </w:p>
    <w:p w:rsidR="003A452F" w:rsidRDefault="003A452F" w:rsidP="003A452F">
      <w:pPr>
        <w:ind w:left="720"/>
        <w:jc w:val="both"/>
        <w:rPr>
          <w:rFonts w:ascii="Times New Roman" w:hAnsi="Times New Roman" w:cs="Times New Roman"/>
          <w:i w:val="0"/>
          <w:color w:val="080808"/>
          <w:sz w:val="22"/>
          <w:szCs w:val="16"/>
        </w:rPr>
      </w:pPr>
    </w:p>
    <w:p w:rsidR="003A452F" w:rsidRDefault="0071062E" w:rsidP="003A452F">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Directional expression of front elevation.  </w:t>
      </w:r>
      <w:r>
        <w:rPr>
          <w:rFonts w:ascii="Times New Roman" w:hAnsi="Times New Roman" w:cs="Times New Roman"/>
          <w:i w:val="0"/>
          <w:color w:val="080808"/>
          <w:sz w:val="22"/>
          <w:szCs w:val="16"/>
        </w:rPr>
        <w:t>[Sec. 130-1123 (b)(11)].</w:t>
      </w:r>
    </w:p>
    <w:p w:rsidR="0071062E" w:rsidRDefault="0071062E" w:rsidP="003A452F">
      <w:pPr>
        <w:ind w:left="720"/>
        <w:jc w:val="both"/>
        <w:rPr>
          <w:rFonts w:ascii="Times New Roman" w:hAnsi="Times New Roman" w:cs="Times New Roman"/>
          <w:i w:val="0"/>
          <w:color w:val="080808"/>
          <w:sz w:val="22"/>
          <w:szCs w:val="16"/>
        </w:rPr>
      </w:pPr>
    </w:p>
    <w:p w:rsidR="0071062E" w:rsidRDefault="0071062E" w:rsidP="0071062E">
      <w:pPr>
        <w:pStyle w:val="ListParagraph"/>
        <w:numPr>
          <w:ilvl w:val="0"/>
          <w:numId w:val="8"/>
        </w:num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The Historic Preservation finds and recommends that the project proponent should work with the Community Development Director to refine the following items due to insufficiency of information in the following respects:</w:t>
      </w:r>
    </w:p>
    <w:p w:rsidR="0071062E" w:rsidRDefault="0071062E" w:rsidP="0071062E">
      <w:pPr>
        <w:ind w:left="720"/>
        <w:jc w:val="both"/>
        <w:rPr>
          <w:rFonts w:ascii="Times New Roman" w:hAnsi="Times New Roman" w:cs="Times New Roman"/>
          <w:i w:val="0"/>
          <w:color w:val="080808"/>
          <w:sz w:val="22"/>
          <w:szCs w:val="16"/>
        </w:rPr>
      </w:pPr>
    </w:p>
    <w:p w:rsidR="0071062E" w:rsidRDefault="0071062E" w:rsidP="0071062E">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Rhythm of spacing</w:t>
      </w:r>
      <w:r w:rsidR="002B5350">
        <w:rPr>
          <w:rFonts w:ascii="Times New Roman" w:hAnsi="Times New Roman" w:cs="Times New Roman"/>
          <w:color w:val="080808"/>
          <w:sz w:val="22"/>
          <w:szCs w:val="16"/>
        </w:rPr>
        <w:t xml:space="preserve">. </w:t>
      </w:r>
      <w:r w:rsidR="002B5350">
        <w:rPr>
          <w:rFonts w:ascii="Times New Roman" w:hAnsi="Times New Roman" w:cs="Times New Roman"/>
          <w:i w:val="0"/>
          <w:color w:val="080808"/>
          <w:sz w:val="22"/>
          <w:szCs w:val="16"/>
        </w:rPr>
        <w:t>[Sec. 130-1123 (b)(6)], and</w:t>
      </w:r>
    </w:p>
    <w:p w:rsidR="002B5350" w:rsidRDefault="002B5350" w:rsidP="0071062E">
      <w:pPr>
        <w:ind w:left="720"/>
        <w:jc w:val="both"/>
        <w:rPr>
          <w:rFonts w:ascii="Times New Roman" w:hAnsi="Times New Roman" w:cs="Times New Roman"/>
          <w:i w:val="0"/>
          <w:color w:val="080808"/>
          <w:sz w:val="22"/>
          <w:szCs w:val="16"/>
        </w:rPr>
      </w:pPr>
    </w:p>
    <w:p w:rsidR="002B5350" w:rsidRDefault="002B5350" w:rsidP="0071062E">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Landscaping. </w:t>
      </w:r>
      <w:r>
        <w:rPr>
          <w:rFonts w:ascii="Times New Roman" w:hAnsi="Times New Roman" w:cs="Times New Roman"/>
          <w:i w:val="0"/>
          <w:color w:val="080808"/>
          <w:sz w:val="22"/>
          <w:szCs w:val="16"/>
        </w:rPr>
        <w:t>[Sec. 130-1123 (b)(10)].</w:t>
      </w:r>
    </w:p>
    <w:p w:rsidR="002B5350" w:rsidRDefault="002B5350" w:rsidP="0071062E">
      <w:pPr>
        <w:ind w:left="720"/>
        <w:jc w:val="both"/>
        <w:rPr>
          <w:rFonts w:ascii="Times New Roman" w:hAnsi="Times New Roman" w:cs="Times New Roman"/>
          <w:i w:val="0"/>
          <w:color w:val="080808"/>
          <w:sz w:val="22"/>
          <w:szCs w:val="16"/>
        </w:rPr>
      </w:pPr>
    </w:p>
    <w:p w:rsidR="002B5350" w:rsidRDefault="002B5350" w:rsidP="002B5350">
      <w:pPr>
        <w:pStyle w:val="ListParagraph"/>
        <w:numPr>
          <w:ilvl w:val="0"/>
          <w:numId w:val="8"/>
        </w:num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The Historic Preservation Commission finds and recommends that the project proponent should work with the Community Development Director to refine the following items in view of objections of opponents or concerns of Commissioners, namely:</w:t>
      </w:r>
    </w:p>
    <w:p w:rsidR="002B5350" w:rsidRDefault="002B5350" w:rsidP="002B5350">
      <w:pPr>
        <w:ind w:left="720"/>
        <w:jc w:val="both"/>
        <w:rPr>
          <w:rFonts w:ascii="Times New Roman" w:hAnsi="Times New Roman" w:cs="Times New Roman"/>
          <w:i w:val="0"/>
          <w:color w:val="080808"/>
          <w:sz w:val="22"/>
          <w:szCs w:val="16"/>
        </w:rPr>
      </w:pPr>
    </w:p>
    <w:p w:rsidR="002B5350" w:rsidRDefault="00F57DF9" w:rsidP="002B5350">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Proportions of f</w:t>
      </w:r>
      <w:r w:rsidR="002B5350">
        <w:rPr>
          <w:rFonts w:ascii="Times New Roman" w:hAnsi="Times New Roman" w:cs="Times New Roman"/>
          <w:color w:val="080808"/>
          <w:sz w:val="22"/>
          <w:szCs w:val="16"/>
        </w:rPr>
        <w:t>ront facades</w:t>
      </w:r>
      <w:r w:rsidR="002B5350">
        <w:rPr>
          <w:rFonts w:ascii="Times New Roman" w:hAnsi="Times New Roman" w:cs="Times New Roman"/>
          <w:i w:val="0"/>
          <w:color w:val="080808"/>
          <w:sz w:val="22"/>
          <w:szCs w:val="16"/>
        </w:rPr>
        <w:t>.</w:t>
      </w:r>
      <w:r>
        <w:rPr>
          <w:rFonts w:ascii="Times New Roman" w:hAnsi="Times New Roman" w:cs="Times New Roman"/>
          <w:i w:val="0"/>
          <w:color w:val="080808"/>
          <w:sz w:val="22"/>
          <w:szCs w:val="16"/>
        </w:rPr>
        <w:t xml:space="preserve">  </w:t>
      </w:r>
      <w:r w:rsidR="002B5350">
        <w:rPr>
          <w:rFonts w:ascii="Times New Roman" w:hAnsi="Times New Roman" w:cs="Times New Roman"/>
          <w:i w:val="0"/>
          <w:color w:val="080808"/>
          <w:sz w:val="22"/>
          <w:szCs w:val="16"/>
        </w:rPr>
        <w:t xml:space="preserve">[Sec. 130-1123 (b)(3)]. </w:t>
      </w:r>
      <w:r>
        <w:rPr>
          <w:rFonts w:ascii="Times New Roman" w:hAnsi="Times New Roman" w:cs="Times New Roman"/>
          <w:i w:val="0"/>
          <w:color w:val="080808"/>
          <w:sz w:val="22"/>
          <w:szCs w:val="16"/>
        </w:rPr>
        <w:t xml:space="preserve"> Opponents of the project have stated that the proposed slab-on-grade foundation is incompatible with traditional construction with footings, basement wall foundations, and above-grade foundation wall construction. Proponents state that basements are not required by code and that such construction would render the project uneconomical. The Historic Preservation Commission is of the view that this issue is best addressed through rough grading, final grading, and landscaping plans, which should ameliorate concerns in this regard. </w:t>
      </w:r>
    </w:p>
    <w:p w:rsidR="0064148F" w:rsidRDefault="0064148F" w:rsidP="002B5350">
      <w:pPr>
        <w:ind w:left="720"/>
        <w:jc w:val="both"/>
        <w:rPr>
          <w:rFonts w:ascii="Times New Roman" w:hAnsi="Times New Roman" w:cs="Times New Roman"/>
          <w:i w:val="0"/>
          <w:color w:val="080808"/>
          <w:sz w:val="22"/>
          <w:szCs w:val="16"/>
        </w:rPr>
      </w:pPr>
    </w:p>
    <w:p w:rsidR="00C970CF" w:rsidRDefault="0064148F" w:rsidP="009A3EB0">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Proportion of openings. </w:t>
      </w:r>
      <w:r>
        <w:rPr>
          <w:rFonts w:ascii="Times New Roman" w:hAnsi="Times New Roman" w:cs="Times New Roman"/>
          <w:i w:val="0"/>
          <w:color w:val="080808"/>
          <w:sz w:val="22"/>
          <w:szCs w:val="16"/>
        </w:rPr>
        <w:t>[Sec. 130-1123 (b)(4)].  Submitted drawings were unclear about the designs and details of the windows.  The Historic Preservation Commission favorably considers double-hung windows, with four-over-four designs for second floor windows, and two-over-two designs for first floor windows on all facades,</w:t>
      </w:r>
      <w:r w:rsidR="007F418D">
        <w:rPr>
          <w:rFonts w:ascii="Times New Roman" w:hAnsi="Times New Roman" w:cs="Times New Roman"/>
          <w:i w:val="0"/>
          <w:color w:val="080808"/>
          <w:sz w:val="22"/>
          <w:szCs w:val="16"/>
        </w:rPr>
        <w:t xml:space="preserve"> with the height of all windows, except for kitchen windows</w:t>
      </w:r>
      <w:r w:rsidR="00BA01C4">
        <w:rPr>
          <w:rFonts w:ascii="Times New Roman" w:hAnsi="Times New Roman" w:cs="Times New Roman"/>
          <w:i w:val="0"/>
          <w:color w:val="080808"/>
          <w:sz w:val="22"/>
          <w:szCs w:val="16"/>
        </w:rPr>
        <w:t>,</w:t>
      </w:r>
      <w:r w:rsidR="007F418D">
        <w:rPr>
          <w:rFonts w:ascii="Times New Roman" w:hAnsi="Times New Roman" w:cs="Times New Roman"/>
          <w:i w:val="0"/>
          <w:color w:val="080808"/>
          <w:sz w:val="22"/>
          <w:szCs w:val="16"/>
        </w:rPr>
        <w:t xml:space="preserve"> to exceed their width. The HPC </w:t>
      </w:r>
      <w:r>
        <w:rPr>
          <w:rFonts w:ascii="Times New Roman" w:hAnsi="Times New Roman" w:cs="Times New Roman"/>
          <w:i w:val="0"/>
          <w:color w:val="080808"/>
          <w:sz w:val="22"/>
          <w:szCs w:val="16"/>
        </w:rPr>
        <w:t>leaves the details thereof</w:t>
      </w:r>
      <w:r w:rsidR="007F418D">
        <w:rPr>
          <w:rFonts w:ascii="Times New Roman" w:hAnsi="Times New Roman" w:cs="Times New Roman"/>
          <w:i w:val="0"/>
          <w:color w:val="080808"/>
          <w:sz w:val="22"/>
          <w:szCs w:val="16"/>
        </w:rPr>
        <w:t xml:space="preserve"> and placement of windows</w:t>
      </w:r>
      <w:r>
        <w:rPr>
          <w:rFonts w:ascii="Times New Roman" w:hAnsi="Times New Roman" w:cs="Times New Roman"/>
          <w:i w:val="0"/>
          <w:color w:val="080808"/>
          <w:sz w:val="22"/>
          <w:szCs w:val="16"/>
        </w:rPr>
        <w:t xml:space="preserve"> to further discussion with City staff.</w:t>
      </w:r>
    </w:p>
    <w:p w:rsidR="009A3EB0" w:rsidRDefault="009A3EB0" w:rsidP="009A3EB0">
      <w:pPr>
        <w:ind w:left="720"/>
        <w:jc w:val="both"/>
        <w:rPr>
          <w:rFonts w:ascii="Times New Roman" w:hAnsi="Times New Roman" w:cs="Times New Roman"/>
          <w:i w:val="0"/>
          <w:color w:val="080808"/>
          <w:sz w:val="22"/>
          <w:szCs w:val="16"/>
        </w:rPr>
      </w:pPr>
    </w:p>
    <w:p w:rsidR="00C970CF" w:rsidRDefault="00C970CF" w:rsidP="002B5350">
      <w:pPr>
        <w:ind w:left="720"/>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Relationship of architectural details.  </w:t>
      </w:r>
      <w:r>
        <w:rPr>
          <w:rFonts w:ascii="Times New Roman" w:hAnsi="Times New Roman" w:cs="Times New Roman"/>
          <w:i w:val="0"/>
          <w:color w:val="080808"/>
          <w:sz w:val="22"/>
          <w:szCs w:val="16"/>
        </w:rPr>
        <w:t>[Sec. 130-1123 (b)(12)]. The owner proposes vinyl clapboard siding with a 4”</w:t>
      </w:r>
      <w:r w:rsidR="00CA5C9D">
        <w:rPr>
          <w:rFonts w:ascii="Times New Roman" w:hAnsi="Times New Roman" w:cs="Times New Roman"/>
          <w:i w:val="0"/>
          <w:color w:val="080808"/>
          <w:sz w:val="22"/>
          <w:szCs w:val="16"/>
        </w:rPr>
        <w:t xml:space="preserve"> reveal, which the H</w:t>
      </w:r>
      <w:r>
        <w:rPr>
          <w:rFonts w:ascii="Times New Roman" w:hAnsi="Times New Roman" w:cs="Times New Roman"/>
          <w:i w:val="0"/>
          <w:color w:val="080808"/>
          <w:sz w:val="22"/>
          <w:szCs w:val="16"/>
        </w:rPr>
        <w:t>istoric Preservation Commission finds to be appropriate.</w:t>
      </w:r>
      <w:r w:rsidR="00CA5C9D">
        <w:rPr>
          <w:rFonts w:ascii="Times New Roman" w:hAnsi="Times New Roman" w:cs="Times New Roman"/>
          <w:i w:val="0"/>
          <w:color w:val="080808"/>
          <w:sz w:val="22"/>
          <w:szCs w:val="16"/>
        </w:rPr>
        <w:t xml:space="preserve"> The width of window, door, </w:t>
      </w:r>
      <w:r>
        <w:rPr>
          <w:rFonts w:ascii="Times New Roman" w:hAnsi="Times New Roman" w:cs="Times New Roman"/>
          <w:i w:val="0"/>
          <w:color w:val="080808"/>
          <w:sz w:val="22"/>
          <w:szCs w:val="16"/>
        </w:rPr>
        <w:t>horizontal</w:t>
      </w:r>
      <w:r w:rsidR="00CA5C9D">
        <w:rPr>
          <w:rFonts w:ascii="Times New Roman" w:hAnsi="Times New Roman" w:cs="Times New Roman"/>
          <w:i w:val="0"/>
          <w:color w:val="080808"/>
          <w:sz w:val="22"/>
          <w:szCs w:val="16"/>
        </w:rPr>
        <w:t>,</w:t>
      </w:r>
      <w:r>
        <w:rPr>
          <w:rFonts w:ascii="Times New Roman" w:hAnsi="Times New Roman" w:cs="Times New Roman"/>
          <w:i w:val="0"/>
          <w:color w:val="080808"/>
          <w:sz w:val="22"/>
          <w:szCs w:val="16"/>
        </w:rPr>
        <w:t xml:space="preserve"> and vertical trim boards is not detailed on the drawings; this width should be wider than that of the siding, but the details should be w</w:t>
      </w:r>
      <w:r w:rsidR="00CA5C9D">
        <w:rPr>
          <w:rFonts w:ascii="Times New Roman" w:hAnsi="Times New Roman" w:cs="Times New Roman"/>
          <w:i w:val="0"/>
          <w:color w:val="080808"/>
          <w:sz w:val="22"/>
          <w:szCs w:val="16"/>
        </w:rPr>
        <w:t>orked out with City staff.  The owner and City staff should further consider the design of front porch railing details, and should consider the addition of a railing on the roof of the porch to better coordinate with adjacent properties.  Two of five Commissioners recommended the addition of decorative window shutters to help break up the horizontal aspects of the facades.</w:t>
      </w:r>
    </w:p>
    <w:p w:rsidR="00B34C4F" w:rsidRDefault="00B34C4F" w:rsidP="002B5350">
      <w:pPr>
        <w:ind w:left="720"/>
        <w:jc w:val="both"/>
        <w:rPr>
          <w:rFonts w:ascii="Times New Roman" w:hAnsi="Times New Roman" w:cs="Times New Roman"/>
          <w:i w:val="0"/>
          <w:color w:val="080808"/>
          <w:sz w:val="22"/>
          <w:szCs w:val="16"/>
        </w:rPr>
      </w:pPr>
    </w:p>
    <w:p w:rsidR="00B34C4F" w:rsidRDefault="00B34C4F" w:rsidP="002B5350">
      <w:pPr>
        <w:ind w:left="720"/>
        <w:jc w:val="both"/>
        <w:rPr>
          <w:rFonts w:ascii="Times New Roman" w:hAnsi="Times New Roman" w:cs="Times New Roman"/>
          <w:i w:val="0"/>
          <w:color w:val="080808"/>
          <w:sz w:val="22"/>
          <w:szCs w:val="16"/>
        </w:rPr>
      </w:pPr>
    </w:p>
    <w:p w:rsidR="00B34C4F" w:rsidRDefault="00B34C4F" w:rsidP="002B5350">
      <w:pPr>
        <w:ind w:left="720"/>
        <w:jc w:val="both"/>
        <w:rPr>
          <w:rFonts w:ascii="Times New Roman" w:hAnsi="Times New Roman" w:cs="Times New Roman"/>
          <w:i w:val="0"/>
          <w:color w:val="080808"/>
          <w:sz w:val="22"/>
          <w:szCs w:val="16"/>
        </w:rPr>
      </w:pPr>
    </w:p>
    <w:p w:rsidR="00B34C4F" w:rsidRDefault="00B34C4F" w:rsidP="00B34C4F">
      <w:pPr>
        <w:jc w:val="both"/>
        <w:rPr>
          <w:rFonts w:ascii="Times New Roman" w:hAnsi="Times New Roman" w:cs="Times New Roman"/>
          <w:b/>
          <w:i w:val="0"/>
          <w:color w:val="080808"/>
          <w:sz w:val="22"/>
          <w:szCs w:val="16"/>
        </w:rPr>
      </w:pPr>
      <w:r>
        <w:rPr>
          <w:rFonts w:ascii="Times New Roman" w:hAnsi="Times New Roman" w:cs="Times New Roman"/>
          <w:b/>
          <w:i w:val="0"/>
          <w:color w:val="080808"/>
          <w:sz w:val="22"/>
          <w:szCs w:val="16"/>
        </w:rPr>
        <w:t>New business.</w:t>
      </w:r>
    </w:p>
    <w:p w:rsidR="00B34C4F" w:rsidRDefault="00B34C4F" w:rsidP="00B34C4F">
      <w:pPr>
        <w:jc w:val="both"/>
        <w:rPr>
          <w:rFonts w:ascii="Times New Roman" w:hAnsi="Times New Roman" w:cs="Times New Roman"/>
          <w:b/>
          <w:i w:val="0"/>
          <w:color w:val="080808"/>
          <w:sz w:val="22"/>
          <w:szCs w:val="16"/>
        </w:rPr>
      </w:pPr>
    </w:p>
    <w:p w:rsidR="00B34C4F" w:rsidRDefault="00B34C4F" w:rsidP="00B34C4F">
      <w:pPr>
        <w:jc w:val="both"/>
        <w:rPr>
          <w:rFonts w:ascii="Times New Roman" w:hAnsi="Times New Roman" w:cs="Times New Roman"/>
          <w:color w:val="080808"/>
          <w:sz w:val="22"/>
          <w:szCs w:val="16"/>
        </w:rPr>
      </w:pPr>
      <w:r>
        <w:rPr>
          <w:rFonts w:ascii="Times New Roman" w:hAnsi="Times New Roman" w:cs="Times New Roman"/>
          <w:i w:val="0"/>
          <w:color w:val="080808"/>
          <w:sz w:val="22"/>
          <w:szCs w:val="16"/>
        </w:rPr>
        <w:t xml:space="preserve">Proposed 2016 budget.  </w:t>
      </w:r>
      <w:r>
        <w:rPr>
          <w:rFonts w:ascii="Times New Roman" w:hAnsi="Times New Roman" w:cs="Times New Roman"/>
          <w:color w:val="080808"/>
          <w:sz w:val="22"/>
          <w:szCs w:val="16"/>
        </w:rPr>
        <w:t>Culbertson moved to approve the following 2016 budget.  Christens seconded.</w:t>
      </w:r>
    </w:p>
    <w:p w:rsidR="00B34C4F" w:rsidRDefault="00B34C4F" w:rsidP="00B34C4F">
      <w:pPr>
        <w:jc w:val="both"/>
        <w:rPr>
          <w:rFonts w:ascii="Times New Roman" w:hAnsi="Times New Roman" w:cs="Times New Roman"/>
          <w:color w:val="080808"/>
          <w:sz w:val="22"/>
          <w:szCs w:val="16"/>
        </w:rPr>
      </w:pPr>
    </w:p>
    <w:p w:rsidR="00B34C4F" w:rsidRDefault="00B34C4F" w:rsidP="00B34C4F">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ab/>
      </w:r>
      <w:r>
        <w:rPr>
          <w:rFonts w:ascii="Times New Roman" w:hAnsi="Times New Roman" w:cs="Times New Roman"/>
          <w:color w:val="080808"/>
          <w:sz w:val="22"/>
          <w:szCs w:val="16"/>
        </w:rPr>
        <w:tab/>
      </w:r>
      <w:r>
        <w:rPr>
          <w:rFonts w:ascii="Times New Roman" w:hAnsi="Times New Roman" w:cs="Times New Roman"/>
          <w:color w:val="080808"/>
          <w:sz w:val="22"/>
          <w:szCs w:val="16"/>
        </w:rPr>
        <w:tab/>
      </w:r>
      <w:r>
        <w:rPr>
          <w:rFonts w:ascii="Times New Roman" w:hAnsi="Times New Roman" w:cs="Times New Roman"/>
          <w:i w:val="0"/>
          <w:color w:val="080808"/>
          <w:sz w:val="22"/>
          <w:szCs w:val="16"/>
        </w:rPr>
        <w:t>History Hunter</w:t>
      </w:r>
      <w:r w:rsidR="007F418D">
        <w:rPr>
          <w:rFonts w:ascii="Times New Roman" w:hAnsi="Times New Roman" w:cs="Times New Roman"/>
          <w:i w:val="0"/>
          <w:color w:val="080808"/>
          <w:sz w:val="22"/>
          <w:szCs w:val="16"/>
        </w:rPr>
        <w:t>s program</w:t>
      </w:r>
      <w:r w:rsidR="007F418D">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 xml:space="preserve">$ </w:t>
      </w:r>
      <w:r w:rsidR="00272612">
        <w:rPr>
          <w:rFonts w:ascii="Times New Roman" w:hAnsi="Times New Roman" w:cs="Times New Roman"/>
          <w:i w:val="0"/>
          <w:color w:val="080808"/>
          <w:sz w:val="22"/>
          <w:szCs w:val="16"/>
        </w:rPr>
        <w:t xml:space="preserve"> </w:t>
      </w:r>
      <w:r>
        <w:rPr>
          <w:rFonts w:ascii="Times New Roman" w:hAnsi="Times New Roman" w:cs="Times New Roman"/>
          <w:i w:val="0"/>
          <w:color w:val="080808"/>
          <w:sz w:val="22"/>
          <w:szCs w:val="16"/>
        </w:rPr>
        <w:t>250</w:t>
      </w:r>
    </w:p>
    <w:p w:rsidR="00B34C4F" w:rsidRDefault="00B34C4F" w:rsidP="00B34C4F">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Library collection support</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 xml:space="preserve">$ </w:t>
      </w:r>
      <w:r w:rsidR="00272612">
        <w:rPr>
          <w:rFonts w:ascii="Times New Roman" w:hAnsi="Times New Roman" w:cs="Times New Roman"/>
          <w:i w:val="0"/>
          <w:color w:val="080808"/>
          <w:sz w:val="22"/>
          <w:szCs w:val="16"/>
        </w:rPr>
        <w:t xml:space="preserve"> </w:t>
      </w:r>
      <w:r>
        <w:rPr>
          <w:rFonts w:ascii="Times New Roman" w:hAnsi="Times New Roman" w:cs="Times New Roman"/>
          <w:i w:val="0"/>
          <w:color w:val="080808"/>
          <w:sz w:val="22"/>
          <w:szCs w:val="16"/>
        </w:rPr>
        <w:t>100</w:t>
      </w:r>
    </w:p>
    <w:p w:rsidR="00B34C4F" w:rsidRDefault="00B34C4F" w:rsidP="00B34C4F">
      <w:pPr>
        <w:ind w:left="1440" w:firstLine="720"/>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WAHPC dues</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 xml:space="preserve">$  </w:t>
      </w:r>
      <w:r w:rsidR="00272612">
        <w:rPr>
          <w:rFonts w:ascii="Times New Roman" w:hAnsi="Times New Roman" w:cs="Times New Roman"/>
          <w:i w:val="0"/>
          <w:color w:val="080808"/>
          <w:sz w:val="22"/>
          <w:szCs w:val="16"/>
        </w:rPr>
        <w:t xml:space="preserve">  </w:t>
      </w:r>
      <w:r>
        <w:rPr>
          <w:rFonts w:ascii="Times New Roman" w:hAnsi="Times New Roman" w:cs="Times New Roman"/>
          <w:i w:val="0"/>
          <w:color w:val="080808"/>
          <w:sz w:val="22"/>
          <w:szCs w:val="16"/>
        </w:rPr>
        <w:t>40</w:t>
      </w:r>
    </w:p>
    <w:p w:rsidR="00B34C4F" w:rsidRDefault="00272612" w:rsidP="00B34C4F">
      <w:pPr>
        <w:ind w:left="1440" w:firstLine="720"/>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State Historical Marker (Park)</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$1000</w:t>
      </w:r>
      <w:r>
        <w:rPr>
          <w:rFonts w:ascii="Times New Roman" w:hAnsi="Times New Roman" w:cs="Times New Roman"/>
          <w:i w:val="0"/>
          <w:color w:val="080808"/>
          <w:sz w:val="22"/>
          <w:szCs w:val="16"/>
        </w:rPr>
        <w:tab/>
      </w:r>
    </w:p>
    <w:p w:rsidR="00272612" w:rsidRDefault="00272612" w:rsidP="00B34C4F">
      <w:pPr>
        <w:ind w:left="1440" w:firstLine="720"/>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Mailings to HPC residents</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  150</w:t>
      </w:r>
    </w:p>
    <w:p w:rsidR="00272612" w:rsidRDefault="00272612" w:rsidP="00B34C4F">
      <w:pPr>
        <w:ind w:left="1440" w:firstLine="720"/>
        <w:jc w:val="both"/>
        <w:rPr>
          <w:rFonts w:ascii="Times New Roman" w:hAnsi="Times New Roman" w:cs="Times New Roman"/>
          <w:i w:val="0"/>
          <w:color w:val="080808"/>
          <w:sz w:val="22"/>
          <w:szCs w:val="16"/>
          <w:u w:val="single"/>
        </w:rPr>
      </w:pPr>
      <w:r>
        <w:rPr>
          <w:rFonts w:ascii="Times New Roman" w:hAnsi="Times New Roman" w:cs="Times New Roman"/>
          <w:i w:val="0"/>
          <w:color w:val="080808"/>
          <w:sz w:val="22"/>
          <w:szCs w:val="16"/>
        </w:rPr>
        <w:t>Consultant fees</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u w:val="single"/>
        </w:rPr>
        <w:t>$1500</w:t>
      </w:r>
    </w:p>
    <w:p w:rsidR="007825F8" w:rsidRDefault="00272612" w:rsidP="00B34C4F">
      <w:pPr>
        <w:ind w:left="1440" w:firstLine="720"/>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Total</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t>$3040</w:t>
      </w:r>
    </w:p>
    <w:p w:rsidR="007825F8" w:rsidRDefault="007825F8" w:rsidP="00B34C4F">
      <w:pPr>
        <w:ind w:left="1440" w:firstLine="720"/>
        <w:jc w:val="both"/>
        <w:rPr>
          <w:rFonts w:ascii="Times New Roman" w:hAnsi="Times New Roman" w:cs="Times New Roman"/>
          <w:i w:val="0"/>
          <w:color w:val="080808"/>
          <w:sz w:val="22"/>
          <w:szCs w:val="16"/>
        </w:rPr>
      </w:pPr>
    </w:p>
    <w:p w:rsidR="00272612" w:rsidRPr="00272612" w:rsidRDefault="007825F8" w:rsidP="007825F8">
      <w:pPr>
        <w:ind w:firstLine="720"/>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unanimous voice vote.</w:t>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p>
    <w:p w:rsidR="003A452F" w:rsidRDefault="003A452F" w:rsidP="003A452F">
      <w:pPr>
        <w:ind w:left="720"/>
        <w:jc w:val="both"/>
        <w:rPr>
          <w:rFonts w:ascii="Times New Roman" w:hAnsi="Times New Roman" w:cs="Times New Roman"/>
          <w:i w:val="0"/>
          <w:color w:val="080808"/>
          <w:sz w:val="22"/>
          <w:szCs w:val="16"/>
        </w:rPr>
      </w:pPr>
    </w:p>
    <w:p w:rsidR="007825F8" w:rsidRDefault="007825F8" w:rsidP="003A452F">
      <w:pPr>
        <w:ind w:left="720"/>
        <w:jc w:val="both"/>
        <w:rPr>
          <w:rFonts w:ascii="Times New Roman" w:hAnsi="Times New Roman" w:cs="Times New Roman"/>
          <w:i w:val="0"/>
          <w:color w:val="080808"/>
          <w:sz w:val="22"/>
          <w:szCs w:val="16"/>
        </w:rPr>
      </w:pPr>
    </w:p>
    <w:p w:rsidR="007825F8" w:rsidRDefault="007825F8" w:rsidP="007825F8">
      <w:pPr>
        <w:jc w:val="both"/>
        <w:rPr>
          <w:rFonts w:ascii="Times New Roman" w:hAnsi="Times New Roman" w:cs="Times New Roman"/>
          <w:b/>
          <w:i w:val="0"/>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7825F8"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Decker moved to adjourn.  Lewis seconded.  </w:t>
      </w:r>
      <w:r>
        <w:rPr>
          <w:rFonts w:ascii="Times New Roman" w:hAnsi="Times New Roman" w:cs="Times New Roman"/>
          <w:i w:val="0"/>
          <w:color w:val="080808"/>
          <w:sz w:val="22"/>
          <w:szCs w:val="16"/>
        </w:rPr>
        <w:t>Approved by voice vote at 8:20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BF" w:rsidRDefault="00780CBF" w:rsidP="00A13742">
      <w:r>
        <w:separator/>
      </w:r>
    </w:p>
  </w:endnote>
  <w:endnote w:type="continuationSeparator" w:id="0">
    <w:p w:rsidR="00780CBF" w:rsidRDefault="00780CBF"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485341">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BF" w:rsidRDefault="00780CBF" w:rsidP="00A13742">
      <w:r>
        <w:separator/>
      </w:r>
    </w:p>
  </w:footnote>
  <w:footnote w:type="continuationSeparator" w:id="0">
    <w:p w:rsidR="00780CBF" w:rsidRDefault="00780CBF"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7D80"/>
    <w:rsid w:val="00080A1B"/>
    <w:rsid w:val="00094961"/>
    <w:rsid w:val="00121065"/>
    <w:rsid w:val="00141369"/>
    <w:rsid w:val="00174998"/>
    <w:rsid w:val="001D5513"/>
    <w:rsid w:val="00236151"/>
    <w:rsid w:val="0026779F"/>
    <w:rsid w:val="00272612"/>
    <w:rsid w:val="00276171"/>
    <w:rsid w:val="002858E0"/>
    <w:rsid w:val="002B5350"/>
    <w:rsid w:val="002D3E9A"/>
    <w:rsid w:val="0034278D"/>
    <w:rsid w:val="003518D5"/>
    <w:rsid w:val="00367F46"/>
    <w:rsid w:val="003A42F1"/>
    <w:rsid w:val="003A452F"/>
    <w:rsid w:val="003B5F8D"/>
    <w:rsid w:val="004112C8"/>
    <w:rsid w:val="004312B9"/>
    <w:rsid w:val="00485341"/>
    <w:rsid w:val="004B5A8E"/>
    <w:rsid w:val="004D6624"/>
    <w:rsid w:val="00500068"/>
    <w:rsid w:val="00501A16"/>
    <w:rsid w:val="00502D76"/>
    <w:rsid w:val="005352A4"/>
    <w:rsid w:val="00570656"/>
    <w:rsid w:val="005D335D"/>
    <w:rsid w:val="0064148F"/>
    <w:rsid w:val="00663BEB"/>
    <w:rsid w:val="00682F8A"/>
    <w:rsid w:val="006A0B27"/>
    <w:rsid w:val="006D5788"/>
    <w:rsid w:val="006F211D"/>
    <w:rsid w:val="0071062E"/>
    <w:rsid w:val="00723610"/>
    <w:rsid w:val="00780CBF"/>
    <w:rsid w:val="007825F8"/>
    <w:rsid w:val="007E7318"/>
    <w:rsid w:val="007F418D"/>
    <w:rsid w:val="007F6B2D"/>
    <w:rsid w:val="00884AE2"/>
    <w:rsid w:val="008D44B9"/>
    <w:rsid w:val="009531F1"/>
    <w:rsid w:val="00977E57"/>
    <w:rsid w:val="009A38F3"/>
    <w:rsid w:val="009A3EB0"/>
    <w:rsid w:val="009C101A"/>
    <w:rsid w:val="009C4647"/>
    <w:rsid w:val="00A04459"/>
    <w:rsid w:val="00A12B27"/>
    <w:rsid w:val="00A13742"/>
    <w:rsid w:val="00A506E1"/>
    <w:rsid w:val="00A74F04"/>
    <w:rsid w:val="00A765BE"/>
    <w:rsid w:val="00A927DF"/>
    <w:rsid w:val="00AB1716"/>
    <w:rsid w:val="00AD0E18"/>
    <w:rsid w:val="00AD77F4"/>
    <w:rsid w:val="00B06718"/>
    <w:rsid w:val="00B34C4F"/>
    <w:rsid w:val="00B57F39"/>
    <w:rsid w:val="00B713AF"/>
    <w:rsid w:val="00B87FC8"/>
    <w:rsid w:val="00BA01C4"/>
    <w:rsid w:val="00BA1A9E"/>
    <w:rsid w:val="00BB0A67"/>
    <w:rsid w:val="00C43142"/>
    <w:rsid w:val="00C6203D"/>
    <w:rsid w:val="00C70A96"/>
    <w:rsid w:val="00C83985"/>
    <w:rsid w:val="00C970CF"/>
    <w:rsid w:val="00CA5C9D"/>
    <w:rsid w:val="00CC05FB"/>
    <w:rsid w:val="00CD0363"/>
    <w:rsid w:val="00CD348B"/>
    <w:rsid w:val="00CF5529"/>
    <w:rsid w:val="00DA1114"/>
    <w:rsid w:val="00DC2ED7"/>
    <w:rsid w:val="00E024CC"/>
    <w:rsid w:val="00E40B4E"/>
    <w:rsid w:val="00E827D8"/>
    <w:rsid w:val="00EA44FD"/>
    <w:rsid w:val="00EA7BD4"/>
    <w:rsid w:val="00EB0CF9"/>
    <w:rsid w:val="00EB4A8B"/>
    <w:rsid w:val="00EC6D47"/>
    <w:rsid w:val="00F278B5"/>
    <w:rsid w:val="00F3052B"/>
    <w:rsid w:val="00F57DF9"/>
    <w:rsid w:val="00F6319F"/>
    <w:rsid w:val="00F65991"/>
    <w:rsid w:val="00F80936"/>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403EB824-70D5-4691-968D-456454E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2015-09-15T13:54:00Z</cp:lastPrinted>
  <dcterms:created xsi:type="dcterms:W3CDTF">2015-09-15T14:57:00Z</dcterms:created>
  <dcterms:modified xsi:type="dcterms:W3CDTF">2015-09-15T14:57:00Z</dcterms:modified>
</cp:coreProperties>
</file>